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SPECIFICATION OF STANDARD GOODS</w:t>
      </w:r>
    </w:p>
    <w:p>
      <w:pPr>
        <w:tabs>
          <w:tab w:val="left" w:pos="2835"/>
        </w:tabs>
        <w:spacing w:before="240" w:after="240"/>
        <w:ind w:left="2835" w:hanging="2835"/>
        <w:jc w:val="center"/>
        <w:rPr>
          <w:lang w:eastAsia="ko-KR"/>
        </w:rPr>
      </w:pPr>
      <w:r>
        <w:rPr>
          <w:b/>
          <w:lang w:val="en-GB"/>
        </w:rPr>
        <w:t>Procurement No:</w:t>
      </w:r>
      <w:r>
        <w:rPr>
          <w:lang w:val="en-GB"/>
        </w:rPr>
        <w:tab/>
      </w:r>
      <w:r>
        <w:rPr>
          <w:rStyle w:val="32"/>
          <w:rFonts w:asciiTheme="minorHAnsi" w:hAnsiTheme="minorHAnsi" w:cstheme="minorHAnsi"/>
        </w:rPr>
        <w:t>27-G001-21</w:t>
      </w:r>
    </w:p>
    <w:p>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pPr>
        <w:pStyle w:val="3"/>
      </w:pPr>
      <w:bookmarkStart w:id="0" w:name="_Toc419729571"/>
      <w:bookmarkStart w:id="1" w:name="_Toc11156577"/>
      <w:r>
        <w:t>Specification</w:t>
      </w:r>
      <w:bookmarkEnd w:id="0"/>
    </w:p>
    <w:p>
      <w:pPr>
        <w:pStyle w:val="4"/>
        <w:rPr>
          <w:lang w:val="en-GB"/>
        </w:rPr>
      </w:pPr>
      <w:bookmarkStart w:id="2" w:name="_Toc293504682"/>
      <w:bookmarkStart w:id="3" w:name="_Toc419729572"/>
      <w:bookmarkStart w:id="4" w:name="_Toc292659306"/>
      <w:r>
        <w:rPr>
          <w:lang w:val="en-GB"/>
        </w:rPr>
        <w:t>Background</w:t>
      </w:r>
      <w:bookmarkEnd w:id="2"/>
      <w:bookmarkEnd w:id="3"/>
    </w:p>
    <w:p>
      <w:pPr>
        <w:ind w:left="450"/>
        <w:jc w:val="both"/>
      </w:pPr>
      <w:bookmarkStart w:id="5" w:name="_Toc312171709"/>
      <w:r>
        <w:t xml:space="preserve">Project: Improving Access to Water for Banaba Communities.  </w:t>
      </w:r>
    </w:p>
    <w:p>
      <w:pPr>
        <w:tabs>
          <w:tab w:val="left" w:pos="450"/>
        </w:tabs>
        <w:ind w:left="450"/>
        <w:jc w:val="both"/>
        <w:rPr>
          <w:szCs w:val="28"/>
        </w:rPr>
      </w:pPr>
      <w:r>
        <w:t>There is an existing 4-tonne water truck on Banaba island that delivers water to community areas. However, this is an old truck and is prone to breakdowns and repetitive repair works. This project will provide an additional</w:t>
      </w:r>
      <w:r>
        <w:rPr>
          <w:szCs w:val="28"/>
        </w:rPr>
        <w:t xml:space="preserve"> one 3-tonne water truck to complement the existing one and the operation of the desalination plant (17,000L/d production) and new desalination plant (12,000m3/d) to feed six (6) 5000L capacity new water tanks which have been shipped to Banaba and that will serve communities in dry seasons or whenever rainwater is not adequate on the island.</w:t>
      </w:r>
    </w:p>
    <w:p>
      <w:pPr>
        <w:tabs>
          <w:tab w:val="left" w:pos="450"/>
        </w:tabs>
        <w:ind w:left="450"/>
        <w:jc w:val="both"/>
      </w:pPr>
      <w:r>
        <w:rPr>
          <w:szCs w:val="28"/>
        </w:rPr>
        <w:t>The new water truck on the other hand will supply freshwater to meet required demand and supporting the productivity of the existing and new desal plant on the island. The delivery will be occasional depending on the demand to cater for the daily potable and non-potable needs on the island communities.</w:t>
      </w:r>
    </w:p>
    <w:p>
      <w:pPr>
        <w:tabs>
          <w:tab w:val="left" w:pos="450"/>
        </w:tabs>
        <w:ind w:left="450"/>
        <w:jc w:val="both"/>
        <w:rPr>
          <w:highlight w:val="yellow"/>
        </w:rPr>
      </w:pPr>
      <w:r>
        <w:rPr>
          <w:szCs w:val="28"/>
        </w:rPr>
        <w:t xml:space="preserve">Banaba island is a remote island located in the west of Gilbert island chain and shipment of good and materials is dependent on chartered vessels or the shipping agencies normal rum to outer island. This project will provide spare parts for the truck to ensure it operates and repaired where necessary within 2 years. This is essential to secure the operation of the water truck and avoiding delay in water supply during dry season, while the desalination plants operates. </w:t>
      </w:r>
    </w:p>
    <w:p>
      <w:pPr>
        <w:pStyle w:val="4"/>
        <w:rPr>
          <w:rFonts w:cs="Calibri"/>
          <w:lang w:val="en-GB"/>
        </w:rPr>
      </w:pPr>
      <w:r>
        <w:rPr>
          <w:rFonts w:cs="Calibri"/>
          <w:lang w:val="en-GB"/>
        </w:rPr>
        <w:t>Requirements</w:t>
      </w:r>
    </w:p>
    <w:p>
      <w:pPr>
        <w:rPr>
          <w:lang w:val="en-GB"/>
        </w:rPr>
      </w:pPr>
      <w:bookmarkStart w:id="6" w:name="_Toc308102003"/>
      <w:r>
        <w:rPr>
          <w:lang w:val="en-GB"/>
        </w:rPr>
        <w:t>All supporting documentation must be in English.</w:t>
      </w:r>
      <w:r>
        <w:t xml:space="preserve"> List of Requirements can be found in the </w:t>
      </w:r>
      <w:r>
        <w:rPr>
          <w:b/>
          <w:bCs/>
        </w:rPr>
        <w:t>Instructions on How to Submit a Quotation</w:t>
      </w:r>
      <w:r>
        <w:t xml:space="preserve"> template, page 5</w:t>
      </w:r>
    </w:p>
    <w:bookmarkEnd w:id="6"/>
    <w:p>
      <w:pPr>
        <w:pStyle w:val="4"/>
        <w:rPr>
          <w:rFonts w:cs="Calibri"/>
          <w:lang w:val="en-GB"/>
        </w:rPr>
      </w:pPr>
      <w:bookmarkStart w:id="7" w:name="_Toc419729577"/>
      <w:r>
        <w:rPr>
          <w:rFonts w:cs="Calibri"/>
          <w:lang w:val="en-GB"/>
        </w:rPr>
        <w:t>Installation services</w:t>
      </w:r>
      <w:bookmarkEnd w:id="7"/>
    </w:p>
    <w:p>
      <w:pPr>
        <w:rPr>
          <w:lang w:val="en-GB"/>
        </w:rPr>
      </w:pPr>
      <w:r>
        <w:rPr>
          <w:lang w:val="en-GB"/>
        </w:rPr>
        <w:t xml:space="preserve">The goods supplied and delivered, to include warranty. All relevant operation and manual documents are to be provided. </w:t>
      </w:r>
    </w:p>
    <w:p>
      <w:pPr>
        <w:pStyle w:val="4"/>
        <w:rPr>
          <w:lang w:val="en-GB"/>
        </w:rPr>
      </w:pPr>
      <w:bookmarkStart w:id="8" w:name="_Toc419729578"/>
      <w:r>
        <w:rPr>
          <w:lang w:val="en-GB"/>
        </w:rPr>
        <w:t>Delivery Time</w:t>
      </w:r>
      <w:bookmarkEnd w:id="8"/>
    </w:p>
    <w:p>
      <w:pPr>
        <w:rPr>
          <w:lang w:val="en-GB"/>
        </w:rPr>
      </w:pPr>
      <w:r>
        <w:rPr>
          <w:lang w:val="en-GB"/>
        </w:rPr>
        <w:t xml:space="preserve">The delivery time for the specified goods should be within a month after signing of the contract. Tenderers are to provide a detailed delivery schedule. </w:t>
      </w:r>
    </w:p>
    <w:bookmarkEnd w:id="4"/>
    <w:bookmarkEnd w:id="5"/>
    <w:p>
      <w:pPr>
        <w:pStyle w:val="3"/>
      </w:pPr>
      <w:r>
        <w:t>Description of the Goods</w:t>
      </w:r>
      <w:bookmarkEnd w:id="1"/>
    </w:p>
    <w:p>
      <w:pPr>
        <w:rPr>
          <w:i/>
          <w:iCs/>
          <w:lang w:val="en-GB"/>
        </w:rPr>
      </w:pPr>
      <w:r>
        <w:rPr>
          <w:i/>
          <w:iCs/>
          <w:lang w:val="en-GB"/>
        </w:rPr>
        <w:t>Here, list all items to be Tendered</w:t>
      </w:r>
    </w:p>
    <w:p>
      <w:pPr>
        <w:rPr>
          <w:i/>
          <w:iCs/>
          <w:lang w:val="en-GB"/>
        </w:rPr>
      </w:pPr>
      <w:r>
        <w:rPr>
          <w:i/>
          <w:iCs/>
          <w:lang w:val="en-GB"/>
        </w:rPr>
        <w:t>(This part may be replaced by a proprietary Supplier description)</w:t>
      </w:r>
    </w:p>
    <w:p>
      <w:pPr>
        <w:rPr>
          <w:lang w:val="en-GB"/>
        </w:rPr>
      </w:pPr>
    </w:p>
    <w:tbl>
      <w:tblPr>
        <w:tblStyle w:val="86"/>
        <w:tblW w:w="0" w:type="auto"/>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636"/>
        <w:gridCol w:w="4678"/>
        <w:gridCol w:w="1134"/>
        <w:gridCol w:w="1559"/>
        <w:gridCol w:w="1417"/>
      </w:tblGrid>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Borders>
              <w:bottom w:val="single" w:color="666666" w:themeColor="text1" w:themeTint="99" w:sz="12" w:space="0"/>
              <w:insideH w:val="single" w:sz="12" w:space="0"/>
            </w:tcBorders>
          </w:tcPr>
          <w:p>
            <w:pPr>
              <w:rPr>
                <w:b w:val="0"/>
                <w:bCs w:val="0"/>
                <w:lang w:val="en-GB"/>
              </w:rPr>
            </w:pPr>
            <w:r>
              <w:rPr>
                <w:b/>
                <w:bCs/>
                <w:lang w:val="en-GB"/>
              </w:rPr>
              <w:t>Pos.</w:t>
            </w:r>
          </w:p>
        </w:tc>
        <w:tc>
          <w:tcPr>
            <w:tcW w:w="4678" w:type="dxa"/>
            <w:tcBorders>
              <w:bottom w:val="single" w:color="666666" w:themeColor="text1" w:themeTint="99" w:sz="12" w:space="0"/>
              <w:insideH w:val="single" w:sz="12" w:space="0"/>
            </w:tcBorders>
          </w:tcPr>
          <w:p>
            <w:pPr>
              <w:rPr>
                <w:b w:val="0"/>
                <w:bCs w:val="0"/>
                <w:lang w:val="en-GB"/>
              </w:rPr>
            </w:pPr>
            <w:r>
              <w:rPr>
                <w:b/>
                <w:bCs/>
                <w:lang w:val="en-GB"/>
              </w:rPr>
              <w:t>Description</w:t>
            </w:r>
          </w:p>
        </w:tc>
        <w:tc>
          <w:tcPr>
            <w:tcW w:w="1134" w:type="dxa"/>
            <w:tcBorders>
              <w:bottom w:val="single" w:color="666666" w:themeColor="text1" w:themeTint="99" w:sz="12" w:space="0"/>
              <w:insideH w:val="single" w:sz="12" w:space="0"/>
            </w:tcBorders>
          </w:tcPr>
          <w:p>
            <w:pPr>
              <w:rPr>
                <w:b w:val="0"/>
                <w:bCs w:val="0"/>
                <w:lang w:val="en-GB"/>
              </w:rPr>
            </w:pPr>
            <w:r>
              <w:rPr>
                <w:b/>
                <w:bCs/>
                <w:lang w:val="en-GB"/>
              </w:rPr>
              <w:t>Number</w:t>
            </w:r>
          </w:p>
        </w:tc>
        <w:tc>
          <w:tcPr>
            <w:tcW w:w="1559" w:type="dxa"/>
            <w:tcBorders>
              <w:bottom w:val="single" w:color="666666" w:themeColor="text1" w:themeTint="99" w:sz="12" w:space="0"/>
              <w:insideH w:val="single" w:sz="12" w:space="0"/>
            </w:tcBorders>
          </w:tcPr>
          <w:p>
            <w:pPr>
              <w:rPr>
                <w:b w:val="0"/>
                <w:bCs w:val="0"/>
                <w:lang w:val="en-GB"/>
              </w:rPr>
            </w:pPr>
            <w:r>
              <w:rPr>
                <w:b/>
                <w:bCs/>
                <w:lang w:val="en-GB"/>
              </w:rPr>
              <w:t>Delivery Time (to be Tendered)</w:t>
            </w:r>
          </w:p>
        </w:tc>
        <w:tc>
          <w:tcPr>
            <w:tcW w:w="1417" w:type="dxa"/>
            <w:tcBorders>
              <w:bottom w:val="single" w:color="666666" w:themeColor="text1" w:themeTint="99" w:sz="12" w:space="0"/>
              <w:insideH w:val="single" w:sz="12" w:space="0"/>
            </w:tcBorders>
          </w:tcPr>
          <w:p>
            <w:pPr>
              <w:rPr>
                <w:b w:val="0"/>
                <w:bCs w:val="0"/>
                <w:lang w:val="en-GB"/>
              </w:rPr>
            </w:pPr>
            <w:r>
              <w:rPr>
                <w:b/>
                <w:bCs/>
                <w:lang w:val="en-GB"/>
              </w:rPr>
              <w:t>Price (to be Tendered)</w:t>
            </w: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bCs/>
                <w:lang w:val="en-GB"/>
              </w:rPr>
            </w:pPr>
            <w:r>
              <w:rPr>
                <w:b w:val="0"/>
                <w:bCs w:val="0"/>
                <w:lang w:val="en-GB"/>
              </w:rPr>
              <w:t>1</w:t>
            </w:r>
          </w:p>
        </w:tc>
        <w:tc>
          <w:tcPr>
            <w:tcW w:w="4678" w:type="dxa"/>
          </w:tcPr>
          <w:p>
            <w:pPr>
              <w:rPr>
                <w:rFonts w:eastAsia="Times New Roman"/>
                <w:color w:val="000000"/>
              </w:rPr>
            </w:pPr>
            <w:r>
              <w:rPr>
                <w:rFonts w:eastAsia="Times New Roman"/>
                <w:b/>
                <w:bCs/>
                <w:color w:val="000000"/>
              </w:rPr>
              <w:t>Banaba Water Truck</w:t>
            </w:r>
            <w:r>
              <w:rPr>
                <w:rFonts w:eastAsia="Times New Roman"/>
                <w:color w:val="000000"/>
              </w:rPr>
              <w:t>:  3000L Food Grade stainless steel drinking water tanker truck with water pump. Complete set with pump to load and discharge water including 2x30meters hose to discharge water distances away. A manhole required for cleaning of inside/interior of tanks</w:t>
            </w:r>
          </w:p>
          <w:p>
            <w:pPr>
              <w:rPr>
                <w:lang w:val="en-GB"/>
              </w:rPr>
            </w:pPr>
            <w:r>
              <w:rPr>
                <w:rFonts w:eastAsia="Times New Roman"/>
                <w:color w:val="000000"/>
                <w:shd w:val="clear" w:color="auto" w:fill="FFFF00"/>
                <w:lang w:val="en-GB"/>
              </w:rPr>
              <w:t>Production year – 2019, New truck</w:t>
            </w:r>
            <w:r>
              <w:rPr>
                <w:rFonts w:eastAsia="Times New Roman"/>
                <w:color w:val="000000"/>
                <w:lang w:val="en-GB"/>
              </w:rPr>
              <w:t xml:space="preserve">  </w:t>
            </w:r>
          </w:p>
        </w:tc>
        <w:tc>
          <w:tcPr>
            <w:tcW w:w="1134" w:type="dxa"/>
          </w:tcPr>
          <w:p>
            <w:pPr>
              <w:rPr>
                <w:lang w:val="en-GB"/>
              </w:rPr>
            </w:pPr>
          </w:p>
        </w:tc>
        <w:tc>
          <w:tcPr>
            <w:tcW w:w="1559" w:type="dxa"/>
          </w:tcPr>
          <w:p>
            <w:pPr>
              <w:rPr>
                <w:lang w:val="en-GB"/>
              </w:rPr>
            </w:pPr>
          </w:p>
        </w:tc>
        <w:tc>
          <w:tcPr>
            <w:tcW w:w="1417" w:type="dxa"/>
          </w:tcPr>
          <w:p>
            <w:pPr>
              <w:rPr>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bCs/>
                <w:lang w:val="en-GB"/>
              </w:rPr>
            </w:pPr>
            <w:r>
              <w:rPr>
                <w:b w:val="0"/>
                <w:bCs w:val="0"/>
                <w:lang w:val="en-GB"/>
              </w:rPr>
              <w:t>2</w:t>
            </w:r>
          </w:p>
        </w:tc>
        <w:tc>
          <w:tcPr>
            <w:tcW w:w="4678" w:type="dxa"/>
          </w:tcPr>
          <w:p>
            <w:pPr>
              <w:rPr>
                <w:highlight w:val="none"/>
                <w:lang w:val="en-GB"/>
              </w:rPr>
            </w:pPr>
            <w:r>
              <w:rPr>
                <w:rFonts w:eastAsia="Times New Roman"/>
                <w:b/>
                <w:bCs/>
                <w:color w:val="000000"/>
                <w:highlight w:val="none"/>
              </w:rPr>
              <w:t>Spare parts:</w:t>
            </w:r>
            <w:r>
              <w:rPr>
                <w:rFonts w:eastAsia="Times New Roman"/>
                <w:color w:val="000000"/>
                <w:highlight w:val="none"/>
              </w:rPr>
              <w:t xml:space="preserve"> Supply of spare parts for 2 years in accordance with truck fabricators operation and maintenance manual. This is to ensure continual operation and maintenance. </w:t>
            </w:r>
          </w:p>
        </w:tc>
        <w:tc>
          <w:tcPr>
            <w:tcW w:w="1134" w:type="dxa"/>
          </w:tcPr>
          <w:p>
            <w:pPr>
              <w:rPr>
                <w:lang w:val="en-GB"/>
              </w:rPr>
            </w:pPr>
            <w:bookmarkStart w:id="9" w:name="_GoBack"/>
            <w:bookmarkEnd w:id="9"/>
          </w:p>
        </w:tc>
        <w:tc>
          <w:tcPr>
            <w:tcW w:w="1559" w:type="dxa"/>
          </w:tcPr>
          <w:p>
            <w:pPr>
              <w:rPr>
                <w:lang w:val="en-GB"/>
              </w:rPr>
            </w:pPr>
          </w:p>
        </w:tc>
        <w:tc>
          <w:tcPr>
            <w:tcW w:w="1417" w:type="dxa"/>
          </w:tcPr>
          <w:p>
            <w:pPr>
              <w:rPr>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bCs/>
                <w:lang w:val="en-GB"/>
              </w:rPr>
            </w:pPr>
            <w:r>
              <w:rPr>
                <w:b/>
                <w:bCs/>
                <w:lang w:val="en-GB"/>
              </w:rPr>
              <w:t xml:space="preserve">3 </w:t>
            </w:r>
          </w:p>
        </w:tc>
        <w:tc>
          <w:tcPr>
            <w:tcW w:w="4678" w:type="dxa"/>
          </w:tcPr>
          <w:p>
            <w:pPr>
              <w:rPr>
                <w:rFonts w:eastAsia="Times New Roman"/>
                <w:b/>
                <w:bCs/>
                <w:color w:val="000000"/>
                <w:highlight w:val="none"/>
              </w:rPr>
            </w:pPr>
            <w:r>
              <w:rPr>
                <w:rFonts w:eastAsia="Times New Roman"/>
                <w:b/>
                <w:bCs/>
                <w:color w:val="000000"/>
                <w:highlight w:val="none"/>
              </w:rPr>
              <w:t xml:space="preserve">Delivery: </w:t>
            </w:r>
            <w:r>
              <w:rPr>
                <w:rFonts w:eastAsia="Times New Roman"/>
                <w:color w:val="000000"/>
                <w:highlight w:val="none"/>
              </w:rPr>
              <w:t>Port of Delivery – Kiribati Port, Betio</w:t>
            </w:r>
            <w:r>
              <w:rPr>
                <w:rFonts w:eastAsia="Times New Roman"/>
                <w:b/>
                <w:bCs/>
                <w:color w:val="000000"/>
                <w:highlight w:val="none"/>
              </w:rPr>
              <w:t xml:space="preserve"> </w:t>
            </w:r>
          </w:p>
        </w:tc>
        <w:tc>
          <w:tcPr>
            <w:tcW w:w="1134" w:type="dxa"/>
          </w:tcPr>
          <w:p>
            <w:pPr>
              <w:rPr>
                <w:lang w:val="en-GB"/>
              </w:rPr>
            </w:pPr>
          </w:p>
        </w:tc>
        <w:tc>
          <w:tcPr>
            <w:tcW w:w="1559" w:type="dxa"/>
          </w:tcPr>
          <w:p>
            <w:pPr>
              <w:rPr>
                <w:lang w:val="en-GB"/>
              </w:rPr>
            </w:pPr>
          </w:p>
        </w:tc>
        <w:tc>
          <w:tcPr>
            <w:tcW w:w="1417" w:type="dxa"/>
          </w:tcPr>
          <w:p>
            <w:pPr>
              <w:rPr>
                <w:lang w:val="en-GB"/>
              </w:rPr>
            </w:pPr>
          </w:p>
        </w:tc>
      </w:tr>
    </w:tbl>
    <w:p>
      <w:pPr>
        <w:rPr>
          <w:lang w:val="en-GB"/>
        </w:rPr>
      </w:pPr>
    </w:p>
    <w:sectPr>
      <w:headerReference r:id="rId4" w:type="default"/>
      <w:footerReference r:id="rId5" w:type="default"/>
      <w:type w:val="oddPage"/>
      <w:pgSz w:w="11907" w:h="16839"/>
      <w:pgMar w:top="170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2021-03-25</w:t>
    </w:r>
    <w:r>
      <w:fldChar w:fldCharType="end"/>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Fonts w:cs="Calibri" w:asciiTheme="minorHAnsi" w:hAnsiTheme="minorHAnsi"/>
        <w:b/>
        <w:bCs/>
        <w:sz w:val="20"/>
      </w:rPr>
      <w:t>Error! Reference source not found.</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0"/>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569"/>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284"/>
    <w:rsid w:val="001735BD"/>
    <w:rsid w:val="001760BE"/>
    <w:rsid w:val="001764C8"/>
    <w:rsid w:val="00180408"/>
    <w:rsid w:val="001813E4"/>
    <w:rsid w:val="00181997"/>
    <w:rsid w:val="00181B2D"/>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2AFB"/>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29EE"/>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531"/>
    <w:rsid w:val="002E56DE"/>
    <w:rsid w:val="002E572C"/>
    <w:rsid w:val="002E5D6F"/>
    <w:rsid w:val="002E7242"/>
    <w:rsid w:val="002F1B17"/>
    <w:rsid w:val="002F2853"/>
    <w:rsid w:val="002F292D"/>
    <w:rsid w:val="002F519F"/>
    <w:rsid w:val="002F58E8"/>
    <w:rsid w:val="002F7444"/>
    <w:rsid w:val="00300E28"/>
    <w:rsid w:val="00302CC6"/>
    <w:rsid w:val="00305D4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6EB3"/>
    <w:rsid w:val="003E7FA5"/>
    <w:rsid w:val="003F07F0"/>
    <w:rsid w:val="003F0F35"/>
    <w:rsid w:val="003F1178"/>
    <w:rsid w:val="003F22A3"/>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3E6D"/>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14AB"/>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0F30"/>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63E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3B7F"/>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61A"/>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63A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0C65"/>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89F"/>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737"/>
    <w:rsid w:val="00726CD4"/>
    <w:rsid w:val="00727BC5"/>
    <w:rsid w:val="00727D4C"/>
    <w:rsid w:val="0073043E"/>
    <w:rsid w:val="00730523"/>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753"/>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5E1"/>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872C2"/>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0C17"/>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99F"/>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2706"/>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49E9"/>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50"/>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500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AEC"/>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2EA"/>
    <w:rsid w:val="00D05317"/>
    <w:rsid w:val="00D07934"/>
    <w:rsid w:val="00D11687"/>
    <w:rsid w:val="00D11EBA"/>
    <w:rsid w:val="00D136E3"/>
    <w:rsid w:val="00D14B5D"/>
    <w:rsid w:val="00D14CBA"/>
    <w:rsid w:val="00D15CF2"/>
    <w:rsid w:val="00D20AD1"/>
    <w:rsid w:val="00D22BCE"/>
    <w:rsid w:val="00D23060"/>
    <w:rsid w:val="00D242BD"/>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2889"/>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3555"/>
    <w:rsid w:val="00E3305D"/>
    <w:rsid w:val="00E333B3"/>
    <w:rsid w:val="00E34B02"/>
    <w:rsid w:val="00E34DCE"/>
    <w:rsid w:val="00E3562B"/>
    <w:rsid w:val="00E3566F"/>
    <w:rsid w:val="00E40A7F"/>
    <w:rsid w:val="00E419EF"/>
    <w:rsid w:val="00E41BC2"/>
    <w:rsid w:val="00E42315"/>
    <w:rsid w:val="00E42494"/>
    <w:rsid w:val="00E425EC"/>
    <w:rsid w:val="00E4282A"/>
    <w:rsid w:val="00E43B6A"/>
    <w:rsid w:val="00E43DDD"/>
    <w:rsid w:val="00E47A57"/>
    <w:rsid w:val="00E50B28"/>
    <w:rsid w:val="00E513DD"/>
    <w:rsid w:val="00E560A7"/>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437"/>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00F0"/>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5588"/>
    <w:rsid w:val="00F90045"/>
    <w:rsid w:val="00F91E55"/>
    <w:rsid w:val="00F927C8"/>
    <w:rsid w:val="00F92E3C"/>
    <w:rsid w:val="00F96BC0"/>
    <w:rsid w:val="00F970D8"/>
    <w:rsid w:val="00F9710B"/>
    <w:rsid w:val="00F978CA"/>
    <w:rsid w:val="00F97D66"/>
    <w:rsid w:val="00FA1DF6"/>
    <w:rsid w:val="00FA1E99"/>
    <w:rsid w:val="00FA2A1F"/>
    <w:rsid w:val="00FA3018"/>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52772548"/>
    <w:rsid w:val="66C97BD6"/>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1"/>
    <w:basedOn w:val="12"/>
    <w:semiHidden/>
    <w:unhideWhenUsed/>
    <w:qFormat/>
    <w:uiPriority w:val="99"/>
    <w:rPr>
      <w:color w:val="605E5C"/>
      <w:shd w:val="clear" w:color="auto" w:fill="E1DFDD"/>
    </w:rPr>
  </w:style>
  <w:style w:type="table" w:customStyle="1" w:styleId="86">
    <w:name w:val="Grid Table 1 Light1"/>
    <w:basedOn w:val="13"/>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1A372A-689B-41EE-A431-A75822256F89}">
  <ds:schemaRefs/>
</ds:datastoreItem>
</file>

<file path=customXml/itemProps3.xml><?xml version="1.0" encoding="utf-8"?>
<ds:datastoreItem xmlns:ds="http://schemas.openxmlformats.org/officeDocument/2006/customXml" ds:itemID="{61574D59-FDCB-466F-981F-3445A7173771}">
  <ds:schemaRefs/>
</ds:datastoreItem>
</file>

<file path=customXml/itemProps4.xml><?xml version="1.0" encoding="utf-8"?>
<ds:datastoreItem xmlns:ds="http://schemas.openxmlformats.org/officeDocument/2006/customXml" ds:itemID="{5C3019AD-311D-41F0-9E19-A65F7B1DF154}">
  <ds:schemaRefs/>
</ds:datastoreItem>
</file>

<file path=customXml/itemProps5.xml><?xml version="1.0" encoding="utf-8"?>
<ds:datastoreItem xmlns:ds="http://schemas.openxmlformats.org/officeDocument/2006/customXml" ds:itemID="{2DBE7A18-72B1-46CE-BE67-00617F8B30CB}">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3</Pages>
  <Words>409</Words>
  <Characters>2336</Characters>
  <Lines>19</Lines>
  <Paragraphs>5</Paragraphs>
  <TotalTime>27</TotalTime>
  <ScaleCrop>false</ScaleCrop>
  <LinksUpToDate>false</LinksUpToDate>
  <CharactersWithSpaces>2740</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2021-03-24T02:39:00Z</dcterms:created>
  <dc:creator>jason.lee@gggi.org;Jisu Min</dc:creator>
  <cp:lastModifiedBy>tneemia</cp:lastModifiedBy>
  <cp:lastPrinted>2021-03-25T00:28:00Z</cp:lastPrinted>
  <dcterms:modified xsi:type="dcterms:W3CDTF">2021-03-25T01:54:36Z</dcterms:modified>
  <dc:title>STANDARD REQUEST FOR PROPOSALS</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